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Monitoring plan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Metrics, methods, thresholds, frequency, owner and actions on breach.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>
        <w:trPr>
          <w:tblHeader/>
        </w:trPr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Metric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Method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Data set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Threshold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Frequency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Owner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Action when breached</w:t>
            </w:r>
          </w:p>
        </w:tc>
      </w:tr>
      <w:tr>
        <w:tc>
          <w:tcPr>
            <w:tcW w:w="1285" w:type="dxa"/>
          </w:tcPr>
          <w:p>
            <w:pPr/>
            <w:r>
              <w:t xml:space="preserve">Accuracy or error rate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Error rates by group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Drift indicators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User complaints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Human override rate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Monitoring plan</dc:title>
  <dc:language>en</dc:language>
  <dc:creator>ClearPath AI Governance</dc:creator>
</cp:coreProperties>
</file>