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ISO/IEC 42001 statement of applicability (Annex A by reference number)</w:t>
      </w:r>
    </w:p>
    <w:p>
      <w:pPr>
        <w:pStyle w:val="Note"/>
      </w:pPr>
      <w:r>
        <w:t xml:space="preserve">For reference purposes only. Not legal advice. Draft for review by a qualified professional.</w:t>
      </w:r>
    </w:p>
    <w:p>
      <w:pPr>
        <w:pStyle w:val="Note"/>
      </w:pPr>
      <w:r>
        <w:t xml:space="preserve">How to use this template. List each Annex A control area by reference with a short paraphrase; add sub-controls from your licensed copy. Reference numbers are marked Verify. Template version 1.0, last reviewed 2026-10-03.</w:t>
      </w:r>
    </w:p>
    <w:tbl>
      <w:tblPr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</w:tblPr>
      <w:tblGrid>
        <w:gridCol w:w="1285"/>
        <w:gridCol w:w="1285"/>
        <w:gridCol w:w="1285"/>
        <w:gridCol w:w="1285"/>
        <w:gridCol w:w="1285"/>
        <w:gridCol w:w="1285"/>
        <w:gridCol w:w="1285"/>
      </w:tblGrid>
      <w:tr>
        <w:trPr>
          <w:tblHeader/>
        </w:trPr>
        <w:tc>
          <w:tcPr>
            <w:tcW w:w="1285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Annex A reference</w:t>
            </w:r>
          </w:p>
        </w:tc>
        <w:tc>
          <w:tcPr>
            <w:tcW w:w="1285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Original short paraphrase</w:t>
            </w:r>
          </w:p>
        </w:tc>
        <w:tc>
          <w:tcPr>
            <w:tcW w:w="1285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Applicable (Yes/No)</w:t>
            </w:r>
          </w:p>
        </w:tc>
        <w:tc>
          <w:tcPr>
            <w:tcW w:w="1285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Justification</w:t>
            </w:r>
          </w:p>
        </w:tc>
        <w:tc>
          <w:tcPr>
            <w:tcW w:w="1285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Implementation status</w:t>
            </w:r>
          </w:p>
        </w:tc>
        <w:tc>
          <w:tcPr>
            <w:tcW w:w="1285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Evidence location</w:t>
            </w:r>
          </w:p>
        </w:tc>
        <w:tc>
          <w:tcPr>
            <w:tcW w:w="1285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Owner</w:t>
            </w:r>
          </w:p>
        </w:tc>
      </w:tr>
      <w:tr>
        <w:tc>
          <w:tcPr>
            <w:tcW w:w="1285" w:type="dxa"/>
          </w:tcPr>
          <w:p>
            <w:pPr/>
            <w:r>
              <w:t xml:space="preserve">A.2</w:t>
            </w:r>
          </w:p>
        </w:tc>
        <w:tc>
          <w:tcPr>
            <w:tcW w:w="1285" w:type="dxa"/>
          </w:tcPr>
          <w:p>
            <w:pPr/>
            <w:r>
              <w:t xml:space="preserve">Policies related to AI</w:t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</w:tr>
      <w:tr>
        <w:tc>
          <w:tcPr>
            <w:tcW w:w="1285" w:type="dxa"/>
          </w:tcPr>
          <w:p>
            <w:pPr/>
            <w:r>
              <w:t xml:space="preserve">A.3</w:t>
            </w:r>
          </w:p>
        </w:tc>
        <w:tc>
          <w:tcPr>
            <w:tcW w:w="1285" w:type="dxa"/>
          </w:tcPr>
          <w:p>
            <w:pPr/>
            <w:r>
              <w:t xml:space="preserve">Internal organization and roles</w:t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</w:tr>
      <w:tr>
        <w:tc>
          <w:tcPr>
            <w:tcW w:w="1285" w:type="dxa"/>
          </w:tcPr>
          <w:p>
            <w:pPr/>
            <w:r>
              <w:t xml:space="preserve">A.4</w:t>
            </w:r>
          </w:p>
        </w:tc>
        <w:tc>
          <w:tcPr>
            <w:tcW w:w="1285" w:type="dxa"/>
          </w:tcPr>
          <w:p>
            <w:pPr/>
            <w:r>
              <w:t xml:space="preserve">Resources for AI systems</w:t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</w:tr>
      <w:tr>
        <w:tc>
          <w:tcPr>
            <w:tcW w:w="1285" w:type="dxa"/>
          </w:tcPr>
          <w:p>
            <w:pPr/>
            <w:r>
              <w:t xml:space="preserve">A.5</w:t>
            </w:r>
          </w:p>
        </w:tc>
        <w:tc>
          <w:tcPr>
            <w:tcW w:w="1285" w:type="dxa"/>
          </w:tcPr>
          <w:p>
            <w:pPr/>
            <w:r>
              <w:t xml:space="preserve">Assessing impacts of AI systems</w:t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</w:tr>
      <w:tr>
        <w:tc>
          <w:tcPr>
            <w:tcW w:w="1285" w:type="dxa"/>
          </w:tcPr>
          <w:p>
            <w:pPr/>
            <w:r>
              <w:t xml:space="preserve">A.6</w:t>
            </w:r>
          </w:p>
        </w:tc>
        <w:tc>
          <w:tcPr>
            <w:tcW w:w="1285" w:type="dxa"/>
          </w:tcPr>
          <w:p>
            <w:pPr/>
            <w:r>
              <w:t xml:space="preserve">AI system life cycle</w:t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</w:tr>
      <w:tr>
        <w:tc>
          <w:tcPr>
            <w:tcW w:w="1285" w:type="dxa"/>
          </w:tcPr>
          <w:p>
            <w:pPr/>
            <w:r>
              <w:t xml:space="preserve">A.7</w:t>
            </w:r>
          </w:p>
        </w:tc>
        <w:tc>
          <w:tcPr>
            <w:tcW w:w="1285" w:type="dxa"/>
          </w:tcPr>
          <w:p>
            <w:pPr/>
            <w:r>
              <w:t xml:space="preserve">Data for AI systems</w:t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</w:tr>
      <w:tr>
        <w:tc>
          <w:tcPr>
            <w:tcW w:w="1285" w:type="dxa"/>
          </w:tcPr>
          <w:p>
            <w:pPr/>
            <w:r>
              <w:t xml:space="preserve">A.8</w:t>
            </w:r>
          </w:p>
        </w:tc>
        <w:tc>
          <w:tcPr>
            <w:tcW w:w="1285" w:type="dxa"/>
          </w:tcPr>
          <w:p>
            <w:pPr/>
            <w:r>
              <w:t xml:space="preserve">Information for interested parties</w:t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</w:tr>
      <w:tr>
        <w:tc>
          <w:tcPr>
            <w:tcW w:w="1285" w:type="dxa"/>
          </w:tcPr>
          <w:p>
            <w:pPr/>
            <w:r>
              <w:t xml:space="preserve">A.9</w:t>
            </w:r>
          </w:p>
        </w:tc>
        <w:tc>
          <w:tcPr>
            <w:tcW w:w="1285" w:type="dxa"/>
          </w:tcPr>
          <w:p>
            <w:pPr/>
            <w:r>
              <w:t xml:space="preserve">Use of AI systems</w:t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</w:tr>
      <w:tr>
        <w:tc>
          <w:tcPr>
            <w:tcW w:w="1285" w:type="dxa"/>
          </w:tcPr>
          <w:p>
            <w:pPr/>
            <w:r>
              <w:t xml:space="preserve">A.10</w:t>
            </w:r>
          </w:p>
        </w:tc>
        <w:tc>
          <w:tcPr>
            <w:tcW w:w="1285" w:type="dxa"/>
          </w:tcPr>
          <w:p>
            <w:pPr/>
            <w:r>
              <w:t xml:space="preserve">Third-party and customer relationships</w:t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  <w:tc>
          <w:tcPr>
            <w:tcW w:w="1285" w:type="dxa"/>
          </w:tcPr>
          <w:p>
            <w:pPr/>
            <w:r>
              <w:t xml:space="preserve"/>
            </w:r>
          </w:p>
        </w:tc>
      </w:tr>
    </w:tbl>
    <w:p>
      <w:pPr/>
      <w:r>
        <w:t xml:space="preserve"/>
      </w:r>
    </w:p>
    <w:p>
      <w:pPr>
        <w:pStyle w:val="Heading2"/>
      </w:pPr>
      <w:r>
        <w:t xml:space="preserve">Certainty notes</w:t>
      </w:r>
    </w:p>
    <w:p>
      <w:pPr>
        <w:pStyle w:val="ListParagraph"/>
        <w:numPr>
          <w:ilvl w:val="0"/>
          <w:numId w:val="1"/>
        </w:numPr>
      </w:pPr>
      <w:r>
        <w:t xml:space="preserve">Simplified: a general starting point. Check names, references and thresholds against the primary sources.</w:t>
      </w:r>
    </w:p>
    <w:p>
      <w:pPr>
        <w:pStyle w:val="Note"/>
      </w:pPr>
      <w:r>
        <w:t xml:space="preserve">For reference purposes only. This site offers general guidance for learning and planning; it is not legal advice and creates no lawyer-client relationship. Rules change often, so check the primary sources and qualified counsel before you act.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spacing w:after="200"/>
    </w:pPr>
    <w:rPr>
      <w:b/>
      <w:color w:val="101530"/>
      <w:sz w:val="48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01530"/>
      <w:sz w:val="36"/>
    </w:rPr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b/>
      <w:color w:val="101530"/>
      <w:sz w:val="30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color w:val="101530"/>
      <w:sz w:val="26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te">
    <w:name w:val="Note"/>
    <w:basedOn w:val="Normal"/>
    <w:pPr>
      <w:pBdr>
        <w:left w:val="single" w:sz="18" w:space="8" w:color="3B3BD6"/>
      </w:pBdr>
      <w:ind w:left="200"/>
    </w:pPr>
    <w:rPr>
      <w:i/>
      <w:color w:val="3F5A4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ISO/IEC 42001 statement of applicability (Annex A by reference number)</dc:title>
  <dc:language>en</dc:language>
  <dc:creator>ClearPath AI Governance</dc:creator>
</cp:coreProperties>
</file>