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ISO/IEC 42001 gap analysis (clauses 4 to 10, references only)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Rate each clause 1 to 4 with evidence, owner and due date. Use your licensed copy of the standard.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/>
        </w:trPr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Clause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Original short description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Rating (1 Not started to 4 Fully in place)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Evidence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Owner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Due date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Action</w:t>
            </w:r>
          </w:p>
        </w:tc>
      </w:tr>
      <w:tr>
        <w:tc>
          <w:tcPr>
            <w:tcW w:w="1285" w:type="dxa"/>
          </w:tcPr>
          <w:p>
            <w:pPr/>
            <w:r>
              <w:t xml:space="preserve">4</w:t>
            </w:r>
          </w:p>
        </w:tc>
        <w:tc>
          <w:tcPr>
            <w:tcW w:w="1285" w:type="dxa"/>
          </w:tcPr>
          <w:p>
            <w:pPr/>
            <w:r>
              <w:t xml:space="preserve">Context: understand the organization, interested parties and the scope of the AI management system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5</w:t>
            </w:r>
          </w:p>
        </w:tc>
        <w:tc>
          <w:tcPr>
            <w:tcW w:w="1285" w:type="dxa"/>
          </w:tcPr>
          <w:p>
            <w:pPr/>
            <w:r>
              <w:t xml:space="preserve">Leadership: commitment, AI policy and roles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6</w:t>
            </w:r>
          </w:p>
        </w:tc>
        <w:tc>
          <w:tcPr>
            <w:tcW w:w="1285" w:type="dxa"/>
          </w:tcPr>
          <w:p>
            <w:pPr/>
            <w:r>
              <w:t xml:space="preserve">Planning: risks, opportunities, objectives and AI impact assessment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7</w:t>
            </w:r>
          </w:p>
        </w:tc>
        <w:tc>
          <w:tcPr>
            <w:tcW w:w="1285" w:type="dxa"/>
          </w:tcPr>
          <w:p>
            <w:pPr/>
            <w:r>
              <w:t xml:space="preserve">Support: resources, competence, awareness, communication and documented information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8</w:t>
            </w:r>
          </w:p>
        </w:tc>
        <w:tc>
          <w:tcPr>
            <w:tcW w:w="1285" w:type="dxa"/>
          </w:tcPr>
          <w:p>
            <w:pPr/>
            <w:r>
              <w:t xml:space="preserve">Operation: planning and control of AI system life cycle processes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9</w:t>
            </w:r>
          </w:p>
        </w:tc>
        <w:tc>
          <w:tcPr>
            <w:tcW w:w="1285" w:type="dxa"/>
          </w:tcPr>
          <w:p>
            <w:pPr/>
            <w:r>
              <w:t xml:space="preserve">Performance evaluation: monitoring, internal audit and management review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10</w:t>
            </w:r>
          </w:p>
        </w:tc>
        <w:tc>
          <w:tcPr>
            <w:tcW w:w="1285" w:type="dxa"/>
          </w:tcPr>
          <w:p>
            <w:pPr/>
            <w:r>
              <w:t xml:space="preserve">Improvement: nonconformity, corrective action and continual improvement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ISO/IEC 42001 gap analysis (clauses 4 to 10, references only)</dc:title>
  <dc:language>en</dc:language>
  <dc:creator>ClearPath AI Governance</dc:creator>
</cp:coreProperties>
</file>