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[Organization name]: AI incident checklist</w:t>
      </w:r>
    </w:p>
    <w:p>
      <w:pPr>
        <w:pStyle w:val="Note"/>
      </w:pPr>
      <w:r>
        <w:t xml:space="preserve">For reference purposes only. Not legal advice. Draft for review by a qualified professional.</w:t>
      </w:r>
    </w:p>
    <w:p>
      <w:pPr/>
      <w:r>
        <w:t xml:space="preserve">**How to use this template.** Keep this checklist with your AI incident response plan and use it when something goes wrong with an AI system. AI incidents are often behavioral: the infrastructure works normally while the system produces harmful, false or biased results, so standard IT incident steps are not enough. Template version 1.0, last reviewed 2026-10-02. Certainty: simplified. Notification duties differ by region and always need confirming with counsel.</w:t>
      </w:r>
    </w:p>
    <w:p>
      <w:pPr>
        <w:pStyle w:val="Heading2"/>
      </w:pPr>
      <w:r>
        <w:t xml:space="preserve">1. Detect and record</w:t>
      </w:r>
    </w:p>
    <w:p>
      <w:pPr>
        <w:pStyle w:val="ListParagraph"/>
        <w:numPr>
          <w:ilvl w:val="0"/>
          <w:numId w:val="1"/>
        </w:numPr>
      </w:pPr>
      <w:r>
        <w:t xml:space="preserve">[ ] Describe what happened, in plain words.</w:t>
      </w:r>
    </w:p>
    <w:p>
      <w:pPr>
        <w:pStyle w:val="ListParagraph"/>
        <w:numPr>
          <w:ilvl w:val="0"/>
          <w:numId w:val="1"/>
        </w:numPr>
      </w:pPr>
      <w:r>
        <w:t xml:space="preserve">[ ] Record when it started, how it was found and who reported it.</w:t>
      </w:r>
    </w:p>
    <w:p>
      <w:pPr>
        <w:pStyle w:val="ListParagraph"/>
        <w:numPr>
          <w:ilvl w:val="0"/>
          <w:numId w:val="1"/>
        </w:numPr>
      </w:pPr>
      <w:r>
        <w:t xml:space="preserve">[ ] Record which system, version and environment.</w:t>
      </w:r>
    </w:p>
    <w:p>
      <w:pPr>
        <w:pStyle w:val="ListParagraph"/>
        <w:numPr>
          <w:ilvl w:val="0"/>
          <w:numId w:val="1"/>
        </w:numPr>
      </w:pPr>
      <w:r>
        <w:t xml:space="preserve">[ ] Preserve logs and examples. Do not delete anything.</w:t>
      </w:r>
    </w:p>
    <w:p>
      <w:pPr>
        <w:pStyle w:val="Heading2"/>
      </w:pPr>
      <w:r>
        <w:t xml:space="preserve">2. Contain</w:t>
      </w:r>
    </w:p>
    <w:p>
      <w:pPr>
        <w:pStyle w:val="ListParagraph"/>
        <w:numPr>
          <w:ilvl w:val="0"/>
          <w:numId w:val="1"/>
        </w:numPr>
      </w:pPr>
      <w:r>
        <w:t xml:space="preserve">[ ] Decide whether to pause, restrict or switch off the system.</w:t>
      </w:r>
    </w:p>
    <w:p>
      <w:pPr>
        <w:pStyle w:val="ListParagraph"/>
        <w:numPr>
          <w:ilvl w:val="0"/>
          <w:numId w:val="1"/>
        </w:numPr>
      </w:pPr>
      <w:r>
        <w:t xml:space="preserve">[ ] Switch to a manual or fallback process if people depend on it.</w:t>
      </w:r>
    </w:p>
    <w:p>
      <w:pPr>
        <w:pStyle w:val="ListParagraph"/>
        <w:numPr>
          <w:ilvl w:val="0"/>
          <w:numId w:val="1"/>
        </w:numPr>
      </w:pPr>
      <w:r>
        <w:t xml:space="preserve">[ ] Tell the system owner and the AI governance lead.</w:t>
      </w:r>
    </w:p>
    <w:p>
      <w:pPr>
        <w:pStyle w:val="Heading2"/>
      </w:pPr>
      <w:r>
        <w:t xml:space="preserve">3. Assess severity</w:t>
      </w:r>
    </w:p>
    <w:p>
      <w:pPr>
        <w:pStyle w:val="ListParagraph"/>
        <w:numPr>
          <w:ilvl w:val="0"/>
          <w:numId w:val="1"/>
        </w:numPr>
      </w:pPr>
      <w:r>
        <w:t xml:space="preserve">[ ] S1: serious harm to people or rights, or a likely legal notification.</w:t>
      </w:r>
    </w:p>
    <w:p>
      <w:pPr>
        <w:pStyle w:val="ListParagraph"/>
        <w:numPr>
          <w:ilvl w:val="0"/>
          <w:numId w:val="1"/>
        </w:numPr>
      </w:pPr>
      <w:r>
        <w:t xml:space="preserve">[ ] S2: significant harm or many people affected.</w:t>
      </w:r>
    </w:p>
    <w:p>
      <w:pPr>
        <w:pStyle w:val="ListParagraph"/>
        <w:numPr>
          <w:ilvl w:val="0"/>
          <w:numId w:val="1"/>
        </w:numPr>
      </w:pPr>
      <w:r>
        <w:t xml:space="preserve">[ ] S3: limited harm, contained.</w:t>
      </w:r>
    </w:p>
    <w:p>
      <w:pPr>
        <w:pStyle w:val="ListParagraph"/>
        <w:numPr>
          <w:ilvl w:val="0"/>
          <w:numId w:val="1"/>
        </w:numPr>
      </w:pPr>
      <w:r>
        <w:t xml:space="preserve">[ ] S4: near miss.</w:t>
      </w:r>
    </w:p>
    <w:p>
      <w:pPr>
        <w:pStyle w:val="ListParagraph"/>
        <w:numPr>
          <w:ilvl w:val="0"/>
          <w:numId w:val="1"/>
        </w:numPr>
      </w:pPr>
      <w:r>
        <w:t xml:space="preserve">[ ] Record the number and groups of people affected and the regions.</w:t>
      </w:r>
    </w:p>
    <w:p>
      <w:pPr>
        <w:pStyle w:val="Heading2"/>
      </w:pPr>
      <w:r>
        <w:t xml:space="preserve">4. Who to notify</w:t>
      </w:r>
    </w:p>
    <w:p>
      <w:pPr/>
      <w:r>
        <w:t xml:space="preserve">*Tick only after confirming with counsel. This list is a prompt, not a statement of what is legally required.*</w:t>
      </w:r>
    </w:p>
    <w:p>
      <w:pPr>
        <w:pStyle w:val="ListParagraph"/>
        <w:numPr>
          <w:ilvl w:val="0"/>
          <w:numId w:val="1"/>
        </w:numPr>
      </w:pPr>
      <w:r>
        <w:t xml:space="preserve">[ ] Internal: [executive sponsor, legal, privacy, security].</w:t>
      </w:r>
    </w:p>
    <w:p>
      <w:pPr>
        <w:pStyle w:val="ListParagraph"/>
        <w:numPr>
          <w:ilvl w:val="0"/>
          <w:numId w:val="1"/>
        </w:numPr>
      </w:pPr>
      <w:r>
        <w:t xml:space="preserve">[ ] The AI provider or vendor (check your contract for notice terms).</w:t>
      </w:r>
    </w:p>
    <w:p>
      <w:pPr>
        <w:pStyle w:val="ListParagraph"/>
        <w:numPr>
          <w:ilvl w:val="0"/>
          <w:numId w:val="1"/>
        </w:numPr>
      </w:pPr>
      <w:r>
        <w:t xml:space="preserve">[ ] Possible regulator or authority notifications by region: [region, authority, deadline, source]. A personal data breach may carry short deadlines.</w:t>
      </w:r>
    </w:p>
    <w:p>
      <w:pPr>
        <w:pStyle w:val="ListParagraph"/>
        <w:numPr>
          <w:ilvl w:val="0"/>
          <w:numId w:val="1"/>
        </w:numPr>
      </w:pPr>
      <w:r>
        <w:t xml:space="preserve">[ ] Affected people, if appropriate.</w:t>
      </w:r>
    </w:p>
    <w:p>
      <w:pPr>
        <w:pStyle w:val="Heading2"/>
      </w:pPr>
      <w:r>
        <w:t xml:space="preserve">5. Investigate cause</w:t>
      </w:r>
    </w:p>
    <w:p>
      <w:pPr>
        <w:pStyle w:val="ListParagraph"/>
        <w:numPr>
          <w:ilvl w:val="0"/>
          <w:numId w:val="1"/>
        </w:numPr>
      </w:pPr>
      <w:r>
        <w:t xml:space="preserve">[ ] Find the cause: data change, model change, misuse, attack, process failure or other.</w:t>
      </w:r>
    </w:p>
    <w:p>
      <w:pPr>
        <w:pStyle w:val="ListParagraph"/>
        <w:numPr>
          <w:ilvl w:val="0"/>
          <w:numId w:val="1"/>
        </w:numPr>
      </w:pPr>
      <w:r>
        <w:t xml:space="preserve">[ ] Check whether the same issue affects other systems.</w:t>
      </w:r>
    </w:p>
    <w:p>
      <w:pPr>
        <w:pStyle w:val="Heading2"/>
      </w:pPr>
      <w:r>
        <w:t xml:space="preserve">6. Fix</w:t>
      </w:r>
    </w:p>
    <w:p>
      <w:pPr>
        <w:pStyle w:val="ListParagraph"/>
        <w:numPr>
          <w:ilvl w:val="0"/>
          <w:numId w:val="1"/>
        </w:numPr>
      </w:pPr>
      <w:r>
        <w:t xml:space="preserve">[ ] Agree the fix with owners and dates.</w:t>
      </w:r>
    </w:p>
    <w:p>
      <w:pPr>
        <w:pStyle w:val="ListParagraph"/>
        <w:numPr>
          <w:ilvl w:val="0"/>
          <w:numId w:val="1"/>
        </w:numPr>
      </w:pPr>
      <w:r>
        <w:t xml:space="preserve">[ ] Re-test before restoring service.</w:t>
      </w:r>
    </w:p>
    <w:p>
      <w:pPr>
        <w:pStyle w:val="Heading2"/>
      </w:pPr>
      <w:r>
        <w:t xml:space="preserve">7. Document</w:t>
      </w:r>
    </w:p>
    <w:p>
      <w:pPr>
        <w:pStyle w:val="ListParagraph"/>
        <w:numPr>
          <w:ilvl w:val="0"/>
          <w:numId w:val="1"/>
        </w:numPr>
      </w:pPr>
      <w:r>
        <w:t xml:space="preserve">[ ] Complete the incident log: description, severity, people affected, actions and notifications made.</w:t>
      </w:r>
    </w:p>
    <w:p>
      <w:pPr>
        <w:pStyle w:val="ListParagraph"/>
        <w:numPr>
          <w:ilvl w:val="0"/>
          <w:numId w:val="1"/>
        </w:numPr>
      </w:pPr>
      <w:r>
        <w:t xml:space="preserve">[ ] Record decisions and who made them.</w:t>
      </w:r>
    </w:p>
    <w:p>
      <w:pPr>
        <w:pStyle w:val="Heading2"/>
      </w:pPr>
      <w:r>
        <w:t xml:space="preserve">8. Review after</w:t>
      </w:r>
    </w:p>
    <w:p>
      <w:pPr>
        <w:pStyle w:val="ListParagraph"/>
        <w:numPr>
          <w:ilvl w:val="0"/>
          <w:numId w:val="1"/>
        </w:numPr>
      </w:pPr>
      <w:r>
        <w:t xml:space="preserve">[ ] Hold a blameless post-incident review within [number] days.</w:t>
      </w:r>
    </w:p>
    <w:p>
      <w:pPr>
        <w:pStyle w:val="ListParagraph"/>
        <w:numPr>
          <w:ilvl w:val="0"/>
          <w:numId w:val="1"/>
        </w:numPr>
      </w:pPr>
      <w:r>
        <w:t xml:space="preserve">[ ] Record lessons learned and update policies, tests and monitoring.</w:t>
      </w:r>
    </w:p>
    <w:p>
      <w:pPr>
        <w:pStyle w:val="ListParagraph"/>
        <w:numPr>
          <w:ilvl w:val="0"/>
          <w:numId w:val="1"/>
        </w:numPr>
      </w:pPr>
      <w:r>
        <w:t xml:space="preserve">[ ] Add actions to the roadmap with owners and due dates.</w:t>
      </w:r>
    </w:p>
    <w:p>
      <w:pPr/>
      <w:r>
        <w:t xml:space="preserve">For reference purposes only. This site offers general guidance for learning and planning; it is not legal advice and creates no lawyer-client relationship. Rules change often, so check the primary sources and qualified counsel before you act.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spacing w:after="200"/>
    </w:pPr>
    <w:rPr>
      <w:b/>
      <w:color w:val="101530"/>
      <w:sz w:val="48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01530"/>
      <w:sz w:val="36"/>
    </w:rPr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b/>
      <w:color w:val="101530"/>
      <w:sz w:val="30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b/>
      <w:color w:val="101530"/>
      <w:sz w:val="26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Note">
    <w:name w:val="Note"/>
    <w:basedOn w:val="Normal"/>
    <w:pPr>
      <w:pBdr>
        <w:left w:val="single" w:sz="18" w:space="8" w:color="3B3BD6"/>
      </w:pBdr>
      <w:ind w:left="200"/>
    </w:pPr>
    <w:rPr>
      <w:i/>
      <w:color w:val="3F5A4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Incident checklist</dc:title>
  <dc:language>en</dc:language>
  <dc:creator>ClearPath AI Governance</dc:creator>
</cp:coreProperties>
</file>