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AI impact assessment</w:t>
      </w:r>
    </w:p>
    <w:p>
      <w:pPr>
        <w:pStyle w:val="Note"/>
      </w:pPr>
      <w:r>
        <w:t xml:space="preserve">For reference purposes only. Not legal advice. Draft for review by a qualified professional.</w:t>
      </w:r>
    </w:p>
    <w:p>
      <w:pPr>
        <w:pStyle w:val="Note"/>
      </w:pPr>
      <w:r>
        <w:t xml:space="preserve">How to use this template. The structure used by the ClearPath impact assessment builder, with region pointers. Replace every [placeholder], delete guidance notes and have a qualified professional review the result. Template version 1.0, last reviewed 2026-10-03. Certainty: simplified.</w:t>
      </w:r>
    </w:p>
    <w:p>
      <w:pPr>
        <w:pStyle w:val="Heading2"/>
      </w:pPr>
      <w:r>
        <w:t xml:space="preserve">1. System overview</w:t>
      </w:r>
    </w:p>
    <w:p>
      <w:pPr/>
      <w:r>
        <w:t xml:space="preserve">Name, owner and description.</w:t>
      </w:r>
    </w:p>
    <w:p>
      <w:pPr/>
      <w:r>
        <w:t xml:space="preserve">[Enter your text here]</w:t>
      </w:r>
    </w:p>
    <w:p>
      <w:pPr>
        <w:pStyle w:val="Heading2"/>
      </w:pPr>
      <w:r>
        <w:t xml:space="preserve">2. Purpose, necessity and alternatives</w:t>
      </w:r>
    </w:p>
    <w:p>
      <w:pPr/>
      <w:r>
        <w:t xml:space="preserve">Why AI, and what else was considered.</w:t>
      </w:r>
    </w:p>
    <w:p>
      <w:pPr/>
      <w:r>
        <w:t xml:space="preserve">[Enter your text here]</w:t>
      </w:r>
    </w:p>
    <w:p>
      <w:pPr>
        <w:pStyle w:val="Heading2"/>
      </w:pPr>
      <w:r>
        <w:t xml:space="preserve">3. People and groups affected</w:t>
      </w:r>
    </w:p>
    <w:p>
      <w:pPr/>
      <w:r>
        <w:t xml:space="preserve">Including vulnerable groups.</w:t>
      </w:r>
    </w:p>
    <w:p>
      <w:pPr/>
      <w:r>
        <w:t xml:space="preserve">[Enter your text here]</w:t>
      </w:r>
    </w:p>
    <w:p>
      <w:pPr>
        <w:pStyle w:val="Heading2"/>
      </w:pPr>
      <w:r>
        <w:t xml:space="preserve">4. Data</w:t>
      </w:r>
    </w:p>
    <w:p>
      <w:pPr/>
      <w:r>
        <w:t xml:space="preserve">Sources, personal and sensitive data, minimization and retention.</w:t>
      </w:r>
    </w:p>
    <w:p>
      <w:pPr/>
      <w:r>
        <w:t xml:space="preserve">[Enter your text here]</w:t>
      </w:r>
    </w:p>
    <w:p>
      <w:pPr>
        <w:pStyle w:val="Heading2"/>
      </w:pPr>
      <w:r>
        <w:t xml:space="preserve">5 and 6. Risks, mitigations and residual risk</w:t>
      </w:r>
    </w:p>
    <w:p>
      <w:pPr/>
      <w:r>
        <w:t xml:space="preserve">Discrimination, privacy, safety, economic harm, loss of access, psychological harm, freedom of expression; each with likelihood and severity before and after mitigation.</w:t>
      </w:r>
    </w:p>
    <w:p>
      <w:pPr/>
      <w:r>
        <w:t xml:space="preserve">[Enter your text here]</w:t>
      </w:r>
    </w:p>
    <w:p>
      <w:pPr>
        <w:pStyle w:val="Heading2"/>
      </w:pPr>
      <w:r>
        <w:t xml:space="preserve">7. Human oversight</w:t>
      </w:r>
    </w:p>
    <w:p>
      <w:pPr/>
      <w:r>
        <w:t xml:space="preserve">Who oversees and how.</w:t>
      </w:r>
    </w:p>
    <w:p>
      <w:pPr/>
      <w:r>
        <w:t xml:space="preserve">[Enter your text here]</w:t>
      </w:r>
    </w:p>
    <w:p>
      <w:pPr>
        <w:pStyle w:val="Heading2"/>
      </w:pPr>
      <w:r>
        <w:t xml:space="preserve">8. Transparency, explanation and route to contest</w:t>
      </w:r>
    </w:p>
    <w:p>
      <w:pPr/>
      <w:r>
        <w:t xml:space="preserve">What people are told and how they can contest.</w:t>
      </w:r>
    </w:p>
    <w:p>
      <w:pPr/>
      <w:r>
        <w:t xml:space="preserve">[Enter your text here]</w:t>
      </w:r>
    </w:p>
    <w:p>
      <w:pPr>
        <w:pStyle w:val="Heading2"/>
      </w:pPr>
      <w:r>
        <w:t xml:space="preserve">9. Consultation</w:t>
      </w:r>
    </w:p>
    <w:p>
      <w:pPr/>
      <w:r>
        <w:t xml:space="preserve">With affected people or their representatives.</w:t>
      </w:r>
    </w:p>
    <w:p>
      <w:pPr/>
      <w:r>
        <w:t xml:space="preserve">[Enter your text here]</w:t>
      </w:r>
    </w:p>
    <w:p>
      <w:pPr>
        <w:pStyle w:val="Heading2"/>
      </w:pPr>
      <w:r>
        <w:t xml:space="preserve">10. Decision and sign-off</w:t>
      </w:r>
    </w:p>
    <w:p>
      <w:pPr/>
      <w:r>
        <w:t xml:space="preserve">Decision, conditions, sign-off and review date.</w:t>
      </w:r>
    </w:p>
    <w:p>
      <w:pPr/>
      <w:r>
        <w:t xml:space="preserve">[Enter your text here]</w:t>
      </w:r>
    </w:p>
    <w:p>
      <w:pPr>
        <w:pStyle w:val="Heading2"/>
      </w:pPr>
      <w:r>
        <w:t xml:space="preserve">Region annexes</w:t>
      </w:r>
    </w:p>
    <w:p>
      <w:pPr/>
      <w:r>
        <w:t xml:space="preserve">EU fundamental-rights elements; EU and UK data protection impact assessment pointers; India DPDP considerations; US state automated-decision pointers. All marked Verify.</w:t>
      </w:r>
    </w:p>
    <w:p>
      <w:pPr/>
      <w:r>
        <w:t xml:space="preserve">[Enter your text here]</w:t>
      </w:r>
    </w:p>
    <w:p>
      <w:pPr>
        <w:pStyle w:val="Heading2"/>
      </w:pPr>
      <w:r>
        <w:t xml:space="preserve">Certainty notes</w:t>
      </w:r>
    </w:p>
    <w:p>
      <w:pPr>
        <w:pStyle w:val="ListParagraph"/>
        <w:numPr>
          <w:ilvl w:val="0"/>
          <w:numId w:val="1"/>
        </w:numPr>
      </w:pPr>
      <w:r>
        <w:t xml:space="preserve">Simplified: a general starting point. Rules differ by region.</w:t>
      </w:r>
    </w:p>
    <w:p>
      <w:pPr>
        <w:pStyle w:val="Note"/>
      </w:pPr>
      <w:r>
        <w:t xml:space="preserve">For reference purposes only. This site offers general guidance for learning and planning; it is not legal advice and creates no lawyer-client relationship. Rules change often, so check the primary sources and qualified counsel before you act.</w:t>
      </w:r>
    </w:p>
    <w:sectPr>
      <w:pgSz w:w="11906" w:h="16838"/>
      <w:pgMar w:top="1134" w:right="1134" w:bottom="1134" w:left="1134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lang w:val="en-GB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qFormat/>
    <w:pPr>
      <w:spacing w:after="200"/>
    </w:pPr>
    <w:rPr>
      <w:b/>
      <w:color w:val="101530"/>
      <w:sz w:val="48"/>
    </w:rPr>
  </w:style>
  <w:style w:type="paragraph" w:styleId="Heading1">
    <w:name w:val="heading 1"/>
    <w:basedOn w:val="Normal"/>
    <w:next w:val="Normal"/>
    <w:qFormat/>
    <w:pPr>
      <w:keepNext/>
      <w:spacing w:before="320" w:after="120"/>
      <w:outlineLvl w:val="0"/>
    </w:pPr>
    <w:rPr>
      <w:b/>
      <w:color w:val="101530"/>
      <w:sz w:val="36"/>
    </w:rPr>
  </w:style>
  <w:style w:type="paragraph" w:styleId="Heading2">
    <w:name w:val="heading 2"/>
    <w:basedOn w:val="Normal"/>
    <w:next w:val="Normal"/>
    <w:qFormat/>
    <w:pPr>
      <w:keepNext/>
      <w:spacing w:before="260" w:after="100"/>
      <w:outlineLvl w:val="1"/>
    </w:pPr>
    <w:rPr>
      <w:b/>
      <w:color w:val="101530"/>
      <w:sz w:val="30"/>
    </w:rPr>
  </w:style>
  <w:style w:type="paragraph" w:styleId="Heading3">
    <w:name w:val="heading 3"/>
    <w:basedOn w:val="Normal"/>
    <w:next w:val="Normal"/>
    <w:qFormat/>
    <w:pPr>
      <w:keepNext/>
      <w:spacing w:before="200" w:after="80"/>
      <w:outlineLvl w:val="2"/>
    </w:pPr>
    <w:rPr>
      <w:b/>
      <w:color w:val="101530"/>
      <w:sz w:val="26"/>
    </w:rPr>
  </w:style>
  <w:style w:type="paragraph" w:styleId="ListParagraph">
    <w:name w:val="List Paragraph"/>
    <w:basedOn w:val="Normal"/>
    <w:pPr>
      <w:ind w:left="720"/>
      <w:contextualSpacing/>
    </w:pPr>
  </w:style>
  <w:style w:type="paragraph" w:styleId="Note">
    <w:name w:val="Note"/>
    <w:basedOn w:val="Normal"/>
    <w:pPr>
      <w:pBdr>
        <w:left w:val="single" w:sz="18" w:space="8" w:color="3B3BD6"/>
      </w:pBdr>
      <w:ind w:left="200"/>
    </w:pPr>
    <w:rPr>
      <w:i/>
      <w:color w:val="3F5A49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AI impact assessment</dc:title>
  <dc:language>en</dc:language>
  <dc:creator>ClearPath AI Governance</dc:creator>
</cp:coreProperties>
</file>