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Data classification guide for AI tool use</w:t>
      </w:r>
    </w:p>
    <w:p>
      <w:pPr>
        <w:pStyle w:val="Note"/>
      </w:pPr>
      <w:r>
        <w:t xml:space="preserve">For reference purposes only. Not legal advice. Draft for review by a qualified professional.</w:t>
      </w:r>
    </w:p>
    <w:p>
      <w:pPr>
        <w:pStyle w:val="Note"/>
      </w:pPr>
      <w:r>
        <w:t xml:space="preserve">How to use this template. Which kinds of data may go into which AI tools. Replace every [placeholder], delete guidance notes and have a qualified professional review the result. Template version 1.0, last reviewed 2026-10-03. Certainty: simplified.</w:t>
      </w:r>
    </w:p>
    <w:p>
      <w:pPr>
        <w:pStyle w:val="Heading2"/>
      </w:pPr>
      <w:r>
        <w:t xml:space="preserve">Classes of data</w:t>
      </w:r>
    </w:p>
    <w:p>
      <w:pPr/>
      <w:r>
        <w:t xml:space="preserve">Define your data classes, for example public, internal, confidential, restricted.</w:t>
      </w:r>
    </w:p>
    <w:p>
      <w:pPr/>
      <w:r>
        <w:t xml:space="preserve">[Enter your text here]</w:t>
      </w:r>
    </w:p>
    <w:p>
      <w:pPr>
        <w:pStyle w:val="Heading2"/>
      </w:pPr>
      <w:r>
        <w:t xml:space="preserve">Tool tiers</w:t>
      </w:r>
    </w:p>
    <w:p>
      <w:pPr/>
      <w:r>
        <w:t xml:space="preserve">Define tiers of AI tools, for example approved enterprise, approved with limits, not approved.</w:t>
      </w:r>
    </w:p>
    <w:p>
      <w:pPr/>
      <w:r>
        <w:t xml:space="preserve">[Enter your text here]</w:t>
      </w:r>
    </w:p>
    <w:p>
      <w:pPr>
        <w:pStyle w:val="Heading2"/>
      </w:pPr>
      <w:r>
        <w:t xml:space="preserve">What goes where</w:t>
      </w:r>
    </w:p>
    <w:p>
      <w:pPr/>
      <w:r>
        <w:t xml:space="preserve">Provide a table matching each data class to each tool tier.</w:t>
      </w:r>
    </w:p>
    <w:p>
      <w:pPr/>
      <w:r>
        <w:t xml:space="preserve">[Enter your text here]</w:t>
      </w:r>
    </w:p>
    <w:p>
      <w:pPr>
        <w:pStyle w:val="Heading2"/>
      </w:pPr>
      <w:r>
        <w:t xml:space="preserve">Examples</w:t>
      </w:r>
    </w:p>
    <w:p>
      <w:pPr/>
      <w:r>
        <w:t xml:space="preserve">Give plain examples of each class from your organization.</w:t>
      </w:r>
    </w:p>
    <w:p>
      <w:pPr/>
      <w:r>
        <w:t xml:space="preserve">[Enter your text here]</w:t>
      </w:r>
    </w:p>
    <w:p>
      <w:pPr>
        <w:pStyle w:val="Heading2"/>
      </w:pPr>
      <w:r>
        <w:t xml:space="preserve">Who to ask</w:t>
      </w:r>
    </w:p>
    <w:p>
      <w:pPr/>
      <w:r>
        <w:t xml:space="preserve">Name the contact for unclear cases: [contact].</w:t>
      </w:r>
    </w:p>
    <w:p>
      <w:pPr/>
      <w:r>
        <w:t xml:space="preserve">[Enter your text here]</w:t>
      </w:r>
    </w:p>
    <w:p>
      <w:pPr>
        <w:pStyle w:val="Heading2"/>
      </w:pPr>
      <w:r>
        <w:t xml:space="preserve">Certainty notes</w:t>
      </w:r>
    </w:p>
    <w:p>
      <w:pPr>
        <w:pStyle w:val="ListParagraph"/>
        <w:numPr>
          <w:ilvl w:val="0"/>
          <w:numId w:val="1"/>
        </w:numPr>
      </w:pPr>
      <w:r>
        <w:t xml:space="preserve">Simplified: a general starting point. Rules differ by region.</w:t>
      </w:r>
    </w:p>
    <w:p>
      <w:pPr>
        <w:pStyle w:val="Note"/>
      </w:pPr>
      <w:r>
        <w:t xml:space="preserve">For reference purposes only. This site offers general guidance for learning and planning; it is not legal advice and creates no lawyer-client relationship. Rules change often, so check the primary sources and qualified counsel before you act.</w:t>
      </w:r>
    </w:p>
    <w:sectPr>
      <w:pgSz w:w="11906" w:h="16838"/>
      <w:pgMar w:top="1134" w:right="1134" w:bottom="1134" w:left="1134" w:header="708" w:footer="708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72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lang w:val="en-GB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qFormat/>
    <w:pPr>
      <w:spacing w:after="200"/>
    </w:pPr>
    <w:rPr>
      <w:b/>
      <w:color w:val="101530"/>
      <w:sz w:val="48"/>
    </w:rPr>
  </w:style>
  <w:style w:type="paragraph" w:styleId="Heading1">
    <w:name w:val="heading 1"/>
    <w:basedOn w:val="Normal"/>
    <w:next w:val="Normal"/>
    <w:qFormat/>
    <w:pPr>
      <w:keepNext/>
      <w:spacing w:before="320" w:after="120"/>
      <w:outlineLvl w:val="0"/>
    </w:pPr>
    <w:rPr>
      <w:b/>
      <w:color w:val="101530"/>
      <w:sz w:val="36"/>
    </w:rPr>
  </w:style>
  <w:style w:type="paragraph" w:styleId="Heading2">
    <w:name w:val="heading 2"/>
    <w:basedOn w:val="Normal"/>
    <w:next w:val="Normal"/>
    <w:qFormat/>
    <w:pPr>
      <w:keepNext/>
      <w:spacing w:before="260" w:after="100"/>
      <w:outlineLvl w:val="1"/>
    </w:pPr>
    <w:rPr>
      <w:b/>
      <w:color w:val="101530"/>
      <w:sz w:val="30"/>
    </w:rPr>
  </w:style>
  <w:style w:type="paragraph" w:styleId="Heading3">
    <w:name w:val="heading 3"/>
    <w:basedOn w:val="Normal"/>
    <w:next w:val="Normal"/>
    <w:qFormat/>
    <w:pPr>
      <w:keepNext/>
      <w:spacing w:before="200" w:after="80"/>
      <w:outlineLvl w:val="2"/>
    </w:pPr>
    <w:rPr>
      <w:b/>
      <w:color w:val="101530"/>
      <w:sz w:val="26"/>
    </w:rPr>
  </w:style>
  <w:style w:type="paragraph" w:styleId="ListParagraph">
    <w:name w:val="List Paragraph"/>
    <w:basedOn w:val="Normal"/>
    <w:pPr>
      <w:ind w:left="720"/>
      <w:contextualSpacing/>
    </w:pPr>
  </w:style>
  <w:style w:type="paragraph" w:styleId="Note">
    <w:name w:val="Note"/>
    <w:basedOn w:val="Normal"/>
    <w:pPr>
      <w:pBdr>
        <w:left w:val="single" w:sz="18" w:space="8" w:color="3B3BD6"/>
      </w:pBdr>
      <w:ind w:left="200"/>
    </w:pPr>
    <w:rPr>
      <w:i/>
      <w:color w:val="3F5A49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Data classification guide for AI tool use</dc:title>
  <dc:language>en</dc:language>
  <dc:creator>ClearPath AI Governance</dc:creator>
</cp:coreProperties>
</file>